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Åstorp kommunfullmäktige</w:t>
      </w:r>
    </w:p>
    <w:p>
      <w:pPr>
        <w:pStyle w:val="Heading1"/>
      </w:pPr>
      <w:r>
        <w:t xml:space="preserve">Stärka språkutbildning och arbetsnära insatser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i Åstorp är cirka 22 % och arbetslösheten bland nyanlända är hög. Bristande svenskkunskaper hindrar integration enligt kommunens integrationsrapport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intensivkurser i svenska för nyanlända med fokus på arbetsliv.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praktikplatser i samarbete med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mäta språkutveckling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anslå medel för språkstöd i förskolan.</w:t>
      </w:r>
    </w:p>
    <w:p>
      <w:pPr>
        <w:spacing w:before="360"/>
      </w:pPr>
    </w:p>
    <w:p>
      <w:r>
        <w:t xml:space="preserve">Åstorp,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2026-07-14T05:47:10.456Z</dcterms:created>
  <dcterms:modified xsi:type="dcterms:W3CDTF">2026-07-14T05:47:10.456Z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